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40" w:lineRule="exact"/>
        <w:jc w:val="center"/>
        <w:rPr>
          <w:rFonts w:ascii="Times New Roman" w:hAnsi="Times New Roman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关于印发龙江县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政策性粮食库存数量和质量大清查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方案的通知</w:t>
      </w:r>
    </w:p>
    <w:p>
      <w:pPr>
        <w:spacing w:line="600" w:lineRule="exact"/>
        <w:rPr>
          <w:rFonts w:ascii="Times New Roman" w:hAnsi="Times New Roman"/>
          <w:color w:val="000000"/>
        </w:rPr>
      </w:pPr>
    </w:p>
    <w:p>
      <w:pPr>
        <w:spacing w:line="640" w:lineRule="exac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各有关企业：</w:t>
      </w:r>
    </w:p>
    <w:p>
      <w:pPr>
        <w:spacing w:line="640" w:lineRule="exact"/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现将《龙江县</w:t>
      </w:r>
      <w:r>
        <w:rPr>
          <w:rFonts w:hint="eastAsia" w:ascii="仿宋_GB2312" w:hAnsi="仿宋_GB2312" w:cs="仿宋_GB2312"/>
          <w:lang w:eastAsia="zh-CN"/>
        </w:rPr>
        <w:t>开展</w:t>
      </w:r>
      <w:r>
        <w:rPr>
          <w:rFonts w:hint="eastAsia" w:ascii="仿宋_GB2312" w:hAnsi="仿宋_GB2312" w:cs="仿宋_GB2312"/>
        </w:rPr>
        <w:t>政策性粮食库存数量和质量大清查</w:t>
      </w:r>
      <w:r>
        <w:rPr>
          <w:rFonts w:hint="eastAsia" w:ascii="仿宋_GB2312" w:hAnsi="仿宋_GB2312" w:cs="仿宋_GB2312"/>
          <w:lang w:eastAsia="zh-CN"/>
        </w:rPr>
        <w:t>工作</w:t>
      </w:r>
      <w:r>
        <w:rPr>
          <w:rFonts w:hint="eastAsia" w:ascii="仿宋_GB2312" w:hAnsi="仿宋_GB2312" w:cs="仿宋_GB2312"/>
        </w:rPr>
        <w:t>方案》印发给你们，请认真贯彻执行。</w:t>
      </w:r>
    </w:p>
    <w:p>
      <w:pPr>
        <w:spacing w:line="560" w:lineRule="exact"/>
        <w:rPr>
          <w:rFonts w:hint="eastAsia" w:ascii="仿宋_GB2312" w:hAnsi="仿宋_GB2312" w:cs="仿宋_GB2312"/>
        </w:rPr>
      </w:pPr>
    </w:p>
    <w:p>
      <w:pPr>
        <w:spacing w:line="560" w:lineRule="exact"/>
        <w:rPr>
          <w:rFonts w:hint="eastAsia" w:ascii="仿宋_GB2312" w:hAnsi="仿宋_GB2312" w:cs="仿宋_GB2312"/>
        </w:rPr>
      </w:pPr>
    </w:p>
    <w:p>
      <w:pPr>
        <w:spacing w:line="560" w:lineRule="exact"/>
        <w:rPr>
          <w:rFonts w:hint="eastAsia" w:ascii="仿宋_GB2312" w:hAnsi="仿宋_GB2312" w:cs="仿宋_GB2312"/>
        </w:rPr>
      </w:pPr>
    </w:p>
    <w:p>
      <w:pPr>
        <w:spacing w:line="560" w:lineRule="exact"/>
        <w:ind w:firstLine="5760" w:firstLineChars="18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龙江县粮食局 </w:t>
      </w:r>
    </w:p>
    <w:p>
      <w:pPr>
        <w:spacing w:line="560" w:lineRule="exact"/>
        <w:ind w:firstLine="5440" w:firstLineChars="17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2020年5月20日</w:t>
      </w:r>
      <w:r>
        <w:rPr>
          <w:rFonts w:hint="eastAsia" w:ascii="仿宋_GB2312" w:hAnsi="仿宋_GB2312" w:cs="仿宋_GB2312"/>
        </w:rPr>
        <w:t xml:space="preserve">         </w:t>
      </w:r>
    </w:p>
    <w:p>
      <w:pPr>
        <w:spacing w:line="560" w:lineRule="exac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</w:t>
      </w:r>
    </w:p>
    <w:p>
      <w:pPr>
        <w:spacing w:line="560" w:lineRule="exact"/>
        <w:rPr>
          <w:rFonts w:hint="eastAsia" w:ascii="仿宋_GB2312" w:hAnsi="仿宋_GB2312" w:cs="仿宋_GB2312"/>
        </w:rPr>
      </w:pPr>
    </w:p>
    <w:p>
      <w:pPr>
        <w:spacing w:line="560" w:lineRule="exact"/>
        <w:rPr>
          <w:rFonts w:hint="eastAsia" w:ascii="仿宋_GB2312" w:hAnsi="仿宋_GB2312" w:cs="仿宋_GB2312"/>
        </w:rPr>
      </w:pPr>
    </w:p>
    <w:p>
      <w:pPr>
        <w:spacing w:line="560" w:lineRule="exact"/>
        <w:rPr>
          <w:rFonts w:hint="eastAsia" w:ascii="仿宋_GB2312" w:hAnsi="仿宋_GB2312" w:cs="仿宋_GB2312"/>
        </w:rPr>
      </w:pPr>
    </w:p>
    <w:p>
      <w:pPr>
        <w:spacing w:line="560" w:lineRule="exact"/>
        <w:ind w:firstLine="640"/>
        <w:rPr>
          <w:rFonts w:hint="eastAsia" w:ascii="仿宋_GB2312" w:hAnsi="仿宋_GB2312" w:cs="仿宋_GB2312"/>
        </w:rPr>
      </w:pPr>
    </w:p>
    <w:p>
      <w:pPr>
        <w:spacing w:line="560" w:lineRule="exact"/>
        <w:rPr>
          <w:rFonts w:hint="eastAsia" w:ascii="仿宋_GB2312" w:hAnsi="仿宋_GB2312" w:cs="仿宋_GB2312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政策性粮食库存数量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和质量大清查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</w:t>
      </w:r>
    </w:p>
    <w:p>
      <w:pPr>
        <w:spacing w:line="560" w:lineRule="exact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为深入落实习近平总书记关于粮食安全的重要指示精神，</w:t>
      </w:r>
      <w:r>
        <w:rPr>
          <w:rFonts w:hint="eastAsia"/>
        </w:rPr>
        <w:t>按照</w:t>
      </w:r>
      <w:r>
        <w:rPr>
          <w:rFonts w:hint="eastAsia"/>
          <w:lang w:eastAsia="zh-CN"/>
        </w:rPr>
        <w:t>县政府工作要求，结合全县政策性粮食库存的实际情况，为更好地掌握库存数量、质量等方面的粮食库存管理工作，防范化解风险隐患，确保国家粮食存储安全，现开展对全县政策性粮食库存进行大清查工作，特制订此方案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一、总体要求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（一）指导思想</w:t>
      </w:r>
    </w:p>
    <w:p>
      <w:pPr>
        <w:spacing w:line="600" w:lineRule="exact"/>
        <w:ind w:firstLine="640" w:firstLineChars="200"/>
        <w:rPr>
          <w:rFonts w:hint="eastAsia"/>
          <w:color w:val="333333"/>
        </w:rPr>
      </w:pPr>
      <w:r>
        <w:rPr>
          <w:rFonts w:hint="eastAsia"/>
          <w:color w:val="333333"/>
        </w:rPr>
        <w:t>深入贯彻习近平新时代中国特色社会主义思想和党的十九大精神，认真落实党中央、国务院决策部署，进一步查清全县政策性粮食库存实底，坚决堵塞漏洞，强化依法治理和责任落实，依法严惩违法违规行为，坚决守住管好“天下粮仓”，确保把中国人的饭碗牢牢端在自己手中。</w:t>
      </w:r>
    </w:p>
    <w:p>
      <w:pPr>
        <w:spacing w:line="600" w:lineRule="exact"/>
        <w:ind w:firstLine="640" w:firstLineChars="200"/>
      </w:pPr>
      <w:r>
        <w:rPr>
          <w:rFonts w:hint="eastAsia"/>
        </w:rPr>
        <w:t>（二）清查原则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1.问题导向，底线思维。聚焦政策性粮食库存管理中的突出问题和薄弱环节，切实守住库存粮食数量真实、质量良好、储存安全的底线。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2.全面清查，突出重点。对</w:t>
      </w:r>
      <w:r>
        <w:rPr>
          <w:rFonts w:hint="eastAsia"/>
          <w:lang w:eastAsia="zh-CN"/>
        </w:rPr>
        <w:t>承储国家政策性</w:t>
      </w:r>
      <w:r>
        <w:rPr>
          <w:rFonts w:hint="eastAsia"/>
        </w:rPr>
        <w:t>粮食</w:t>
      </w:r>
      <w:r>
        <w:rPr>
          <w:rFonts w:hint="eastAsia"/>
          <w:lang w:val="en-US" w:eastAsia="zh-CN"/>
        </w:rPr>
        <w:t>企业</w:t>
      </w:r>
      <w:r>
        <w:rPr>
          <w:rFonts w:hint="eastAsia"/>
        </w:rPr>
        <w:t>，坚持有仓必到、有粮必查、有账必核、查必彻底、全程留痕；突出重点品种、重点企业，加大清查力度和重要问题线索核查力度。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3.依规清查，创新方法。严格依照本</w:t>
      </w:r>
      <w:r>
        <w:rPr>
          <w:rFonts w:hint="eastAsia"/>
          <w:lang w:eastAsia="zh-CN"/>
        </w:rPr>
        <w:t>工作</w:t>
      </w:r>
      <w:r>
        <w:rPr>
          <w:rFonts w:hint="eastAsia"/>
        </w:rPr>
        <w:t>方案的规定和大清查检查方法，从严从实组织好清查工作。运用先进信息技术进行库存检查，提高效率、保证质量。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4.完善机制，压实责任。把建立完善长效机制贯穿大清查全过程，坚持谁主管、谁负责，谁清查、谁负责，落实逐级分工负责制，对检查结果实行责任追究制；认真落实承储企业的主体责任、地方政府的属地管理责任和行政管理部门的监管责任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二、清查时点、范围和内容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（一）清查时点。以2</w:t>
      </w:r>
      <w:r>
        <w:rPr>
          <w:rFonts w:hint="eastAsia"/>
          <w:lang w:val="en-US" w:eastAsia="zh-CN"/>
        </w:rPr>
        <w:t>020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日24时统计结报时点为大清查检查时点，不得提前和延后。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（二）清查范围。大清查范围包括各类企业存储的政策性粮食</w:t>
      </w:r>
      <w:r>
        <w:rPr>
          <w:rFonts w:hint="eastAsia"/>
          <w:lang w:eastAsia="zh-CN"/>
        </w:rPr>
        <w:t>。</w:t>
      </w:r>
      <w:r>
        <w:rPr>
          <w:rFonts w:hint="eastAsia"/>
        </w:rPr>
        <w:t>政策性粮食包括中央储备粮、最低收购价粮、国家临时存储粮、国家一次性储备粮、地方储备粮、其他省和市（地）委托的异地储备粮等。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（三）清查内容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1.库存粮食数量。纳入清查范围的粮食库存实物数量、品种和粮权归属情况，以及不同年份、不同性质、不同品种粮食分仓（货位）储存管理情况。承储企业粮食库存实物与保管账、统计账、会计账、银行资金台账的账实相符、账账相符情况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2.库存粮食质量。政策性粮食质量指标、储存品质指标和主要食品安全指标</w:t>
      </w:r>
      <w:bookmarkStart w:id="0" w:name="_GoBack"/>
      <w:bookmarkEnd w:id="0"/>
      <w:r>
        <w:rPr>
          <w:rFonts w:hint="eastAsia"/>
        </w:rPr>
        <w:t>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3.政策执行情况。对企业执行国家粮食收购政策、储备粮轮换管理、政策性粮食库贷挂钩、财政补贴拨付等情况进行同步检查，验证库存粮食的真实可靠性。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三、实施步骤</w:t>
      </w:r>
    </w:p>
    <w:p>
      <w:pPr>
        <w:spacing w:line="600" w:lineRule="exact"/>
        <w:ind w:firstLine="640" w:firstLineChars="200"/>
        <w:rPr>
          <w:rFonts w:hint="eastAsia"/>
          <w:lang w:eastAsia="zh-CN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年大清查分为自查、普查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汇总整改</w:t>
      </w:r>
      <w:r>
        <w:rPr>
          <w:rFonts w:hint="eastAsia"/>
          <w:lang w:eastAsia="zh-CN"/>
        </w:rPr>
        <w:t>三</w:t>
      </w:r>
      <w:r>
        <w:rPr>
          <w:rFonts w:hint="eastAsia"/>
        </w:rPr>
        <w:t>个阶段</w:t>
      </w:r>
      <w:r>
        <w:rPr>
          <w:rFonts w:hint="eastAsia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（一）自查阶段（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月底前）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</w:rPr>
        <w:t>企业自查。企业自查是落实大清查主体责任的关键环节，企业要制定大清查自查工作方案，明确工作任务，压实责任，要认真履行主体责任，严格按照大清查的各项要求开展自查</w:t>
      </w:r>
      <w:r>
        <w:rPr>
          <w:rFonts w:hint="eastAsia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数量检查操作方法参照国家《大清查》实物检查方法，企业自查结束上报材料包括粮食数量检查工作底稿、2020年春季普查数量核查情况统计表和盖章签字自查报告。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eastAsia="zh-CN"/>
        </w:rPr>
        <w:t>二</w:t>
      </w:r>
      <w:r>
        <w:rPr>
          <w:rFonts w:hint="eastAsia"/>
        </w:rPr>
        <w:t>）普查阶段（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1日至15日</w:t>
      </w:r>
      <w:r>
        <w:rPr>
          <w:rFonts w:hint="eastAsia"/>
        </w:rPr>
        <w:t>）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  <w:lang w:eastAsia="zh-CN"/>
        </w:rPr>
        <w:t>县局</w:t>
      </w:r>
      <w:r>
        <w:rPr>
          <w:rFonts w:hint="eastAsia"/>
        </w:rPr>
        <w:t>组织</w:t>
      </w:r>
      <w:r>
        <w:rPr>
          <w:rFonts w:hint="eastAsia"/>
          <w:lang w:eastAsia="zh-CN"/>
        </w:rPr>
        <w:t>普查</w:t>
      </w:r>
      <w:r>
        <w:rPr>
          <w:rFonts w:hint="eastAsia"/>
        </w:rPr>
        <w:t>。</w:t>
      </w:r>
      <w:r>
        <w:rPr>
          <w:rFonts w:hint="eastAsia"/>
          <w:lang w:eastAsia="zh-CN"/>
        </w:rPr>
        <w:t>县局</w:t>
      </w:r>
      <w:r>
        <w:rPr>
          <w:rFonts w:hint="eastAsia"/>
        </w:rPr>
        <w:t>统一抽调人员</w:t>
      </w:r>
      <w:r>
        <w:rPr>
          <w:rFonts w:hint="eastAsia"/>
          <w:lang w:eastAsia="zh-CN"/>
        </w:rPr>
        <w:t>组成检查组</w:t>
      </w:r>
      <w:r>
        <w:rPr>
          <w:rFonts w:hint="eastAsia"/>
        </w:rPr>
        <w:t>，对纳入清查范围的承储企业库存粮食逐货位进行检查。并对检查全过程负总责。确保普查工作按照时限保质保量完成。并将检查结果以文件形式汇总上报</w:t>
      </w:r>
      <w:r>
        <w:rPr>
          <w:rFonts w:hint="eastAsia"/>
          <w:lang w:eastAsia="zh-CN"/>
        </w:rPr>
        <w:t>县政府</w:t>
      </w:r>
      <w:r>
        <w:rPr>
          <w:rFonts w:hint="eastAsia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（三）问题整改阶段（</w:t>
      </w:r>
      <w:r>
        <w:rPr>
          <w:rFonts w:hint="eastAsia"/>
          <w:lang w:val="en-US" w:eastAsia="zh-CN"/>
        </w:rPr>
        <w:t>6月15日至30日</w:t>
      </w:r>
      <w:r>
        <w:rPr>
          <w:rFonts w:hint="eastAsia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/>
        </w:rPr>
        <w:t>问题整改。6月</w:t>
      </w:r>
      <w:r>
        <w:rPr>
          <w:rFonts w:hint="eastAsia"/>
          <w:lang w:val="en-US" w:eastAsia="zh-CN"/>
        </w:rPr>
        <w:t>30日前</w:t>
      </w:r>
      <w:r>
        <w:rPr>
          <w:rFonts w:hint="eastAsia"/>
        </w:rPr>
        <w:t>，</w:t>
      </w:r>
      <w:r>
        <w:rPr>
          <w:rFonts w:hint="eastAsia"/>
          <w:lang w:eastAsia="zh-CN"/>
        </w:rPr>
        <w:t>县局检查组对发现问题</w:t>
      </w:r>
      <w:r>
        <w:rPr>
          <w:rFonts w:hint="eastAsia"/>
        </w:rPr>
        <w:t>下发整改通知书</w:t>
      </w:r>
      <w:r>
        <w:rPr>
          <w:rFonts w:hint="eastAsia"/>
          <w:lang w:eastAsia="zh-CN"/>
        </w:rPr>
        <w:t>，并</w:t>
      </w:r>
      <w:r>
        <w:rPr>
          <w:rFonts w:hint="eastAsia"/>
        </w:rPr>
        <w:t>梳理汇总普查发现的各类问题，形成问题清单，督促限期整改到位，建立重要问题挂牌督办、通报和约谈制度，督促企业狠抓整改落实，建立整改台账，明确责任单位和整改期限，实行销号整改。承储企业拒不执行整改要求或</w:t>
      </w:r>
      <w:r>
        <w:rPr>
          <w:rFonts w:hint="eastAsia" w:ascii="仿宋" w:hAnsi="仿宋" w:eastAsia="仿宋" w:cs="仿宋"/>
        </w:rPr>
        <w:t>整改工作不认真、不到位的，要追究企业负责人和直接责任人员的责任。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有关要求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加强组织领导。各相关企业要站在讲政治的高度，认真履行主体责任，扎实组织开展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sz w:val="32"/>
          <w:szCs w:val="32"/>
        </w:rPr>
        <w:t>查工作，压实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sz w:val="32"/>
          <w:szCs w:val="32"/>
        </w:rPr>
        <w:t>查责任。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sz w:val="32"/>
          <w:szCs w:val="32"/>
        </w:rPr>
        <w:t>主管领导全程带队，配齐排查各方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专业人员开展工作。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严密组织实施。认真落实排查要求，及时排查纠正执行政策不严格、不规范、不到位等行为，着重发现、解决粮食库存管理的薄弱环节和风险隐患，为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安全储粮</w:t>
      </w:r>
      <w:r>
        <w:rPr>
          <w:rFonts w:hint="eastAsia" w:ascii="仿宋" w:hAnsi="仿宋" w:eastAsia="仿宋" w:cs="仿宋"/>
          <w:sz w:val="32"/>
          <w:szCs w:val="32"/>
        </w:rPr>
        <w:t>打好基础。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抓好整改落实。对排查发现的各类问题，要不压、不瞒、不拖，责成承储企业抓紧整改，要在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日前完成整改工作，并将排查工作情况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落实安全措施。要全面落实安全生产责任制，排查人员要规范操作，被排查企业要将安全措施落实到具体人员，现场全程跟踪参与，确保安全。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2F800"/>
    <w:multiLevelType w:val="singleLevel"/>
    <w:tmpl w:val="32A2F8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D5DE1"/>
    <w:rsid w:val="09245212"/>
    <w:rsid w:val="2D087924"/>
    <w:rsid w:val="46EF4FB3"/>
    <w:rsid w:val="504B4851"/>
    <w:rsid w:val="54501852"/>
    <w:rsid w:val="5CE53057"/>
    <w:rsid w:val="5F2D328B"/>
    <w:rsid w:val="70A4432F"/>
    <w:rsid w:val="77A5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2020-05-19T01:44:00Z</dcterms:created>
  <dc:creator>LSJ COMPUTER</dc:creator>
  <cp:lastModifiedBy>LSJ COMPUTER</cp:lastModifiedBy>
  <dcterms:modified xsi:type="dcterms:W3CDTF">2020-05-19T08:20:46Z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